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9BC9E" w14:textId="77777777" w:rsidR="00377BD7" w:rsidRPr="00377BD7" w:rsidRDefault="00377BD7" w:rsidP="00C34E0A">
      <w:pPr>
        <w:suppressAutoHyphens w:val="0"/>
        <w:spacing w:after="160" w:line="259" w:lineRule="auto"/>
        <w:jc w:val="right"/>
        <w:rPr>
          <w:rFonts w:ascii="Cambria" w:hAnsi="Cambria" w:cs="Arial"/>
          <w:b/>
          <w:bCs/>
          <w:iCs/>
        </w:rPr>
      </w:pPr>
      <w:bookmarkStart w:id="0" w:name="_Hlk515267624"/>
      <w:r w:rsidRPr="00377BD7">
        <w:rPr>
          <w:rFonts w:ascii="Cambria" w:hAnsi="Cambria" w:cs="Arial"/>
          <w:b/>
          <w:bCs/>
          <w:iCs/>
        </w:rPr>
        <w:t>Załącznik nr 4 do SWZ</w:t>
      </w:r>
    </w:p>
    <w:p w14:paraId="06D5F675" w14:textId="77777777" w:rsidR="00377BD7" w:rsidRPr="00377BD7" w:rsidRDefault="00377BD7" w:rsidP="00C34E0A">
      <w:pPr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lang w:eastAsia="en-US"/>
        </w:rPr>
      </w:pPr>
      <w:bookmarkStart w:id="1" w:name="_Hlk81920147"/>
      <w:r w:rsidRPr="00377BD7">
        <w:rPr>
          <w:rFonts w:ascii="Cambria" w:eastAsia="Calibri" w:hAnsi="Cambria" w:cs="Arial"/>
          <w:b/>
          <w:bCs/>
          <w:lang w:eastAsia="en-US"/>
        </w:rPr>
        <w:t xml:space="preserve">INFORMACJE DOTYCZĄCE WYPEŁNIENIA STANDARDOWEGO FORMULARZA </w:t>
      </w:r>
      <w:r w:rsidRPr="00377BD7">
        <w:rPr>
          <w:rFonts w:ascii="Cambria" w:eastAsia="Calibri" w:hAnsi="Cambria" w:cs="Arial"/>
          <w:b/>
          <w:bCs/>
          <w:lang w:eastAsia="en-US"/>
        </w:rPr>
        <w:br/>
        <w:t xml:space="preserve">JEDNOLITEGO EUROPEJSKIEGO DOKUMENTU ZAMÓWIENIA (JEDZ) </w:t>
      </w:r>
    </w:p>
    <w:p w14:paraId="595CA01F" w14:textId="77777777" w:rsidR="00377BD7" w:rsidRPr="00377BD7" w:rsidRDefault="00377BD7" w:rsidP="00C34E0A">
      <w:pPr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u w:val="single"/>
          <w:lang w:eastAsia="en-US"/>
        </w:rPr>
      </w:pPr>
      <w:r w:rsidRPr="00377BD7">
        <w:rPr>
          <w:rFonts w:ascii="Cambria" w:eastAsia="Calibri" w:hAnsi="Cambria" w:cs="Arial"/>
          <w:b/>
          <w:bCs/>
          <w:lang w:eastAsia="en-US"/>
        </w:rPr>
        <w:t xml:space="preserve">składane na podstawie art. 125 ust. 1 ustawy </w:t>
      </w:r>
      <w:proofErr w:type="spellStart"/>
      <w:r w:rsidRPr="00377BD7">
        <w:rPr>
          <w:rFonts w:ascii="Cambria" w:eastAsia="Calibri" w:hAnsi="Cambria" w:cs="Arial"/>
          <w:b/>
          <w:bCs/>
          <w:lang w:eastAsia="en-US"/>
        </w:rPr>
        <w:t>Pzp</w:t>
      </w:r>
      <w:proofErr w:type="spellEnd"/>
    </w:p>
    <w:p w14:paraId="5177B940" w14:textId="77777777" w:rsidR="00377BD7" w:rsidRPr="00377BD7" w:rsidRDefault="00377BD7" w:rsidP="00C34E0A">
      <w:pPr>
        <w:suppressAutoHyphens w:val="0"/>
        <w:spacing w:before="240" w:after="160" w:line="259" w:lineRule="auto"/>
        <w:jc w:val="both"/>
        <w:rPr>
          <w:rFonts w:ascii="Cambria" w:hAnsi="Cambria" w:cs="Arial"/>
          <w:lang w:eastAsia="pl-PL"/>
        </w:rPr>
      </w:pPr>
      <w:r w:rsidRPr="00377BD7">
        <w:rPr>
          <w:rFonts w:ascii="Cambria" w:hAnsi="Cambria" w:cs="Arial"/>
          <w:lang w:eastAsia="pl-PL"/>
        </w:rPr>
        <w:t>Formularz należy sporządzić zgodnie z wzorem standardowego formularza określonego w rozporządzeniu Wykonawczym Komisji Europejskiej wydanym na podstawie art. 59 ust. 2 dyrektywy 2014/24/UE, zwanego dalej „jednolitym dokumentem” lub „</w:t>
      </w:r>
      <w:r w:rsidRPr="00377BD7">
        <w:rPr>
          <w:rFonts w:ascii="Cambria" w:hAnsi="Cambria" w:cs="Arial"/>
          <w:b/>
          <w:bCs/>
          <w:lang w:eastAsia="pl-PL"/>
        </w:rPr>
        <w:t>JEDZ</w:t>
      </w:r>
      <w:r w:rsidRPr="00377BD7">
        <w:rPr>
          <w:rFonts w:ascii="Cambria" w:hAnsi="Cambria" w:cs="Arial"/>
          <w:lang w:eastAsia="pl-PL"/>
        </w:rPr>
        <w:t>”).</w:t>
      </w:r>
    </w:p>
    <w:p w14:paraId="790AACFB" w14:textId="77777777" w:rsidR="00377BD7" w:rsidRPr="00377BD7" w:rsidRDefault="00377BD7" w:rsidP="00C34E0A">
      <w:pPr>
        <w:suppressAutoHyphens w:val="0"/>
        <w:spacing w:before="120" w:after="120"/>
        <w:jc w:val="both"/>
        <w:rPr>
          <w:rFonts w:ascii="Cambria" w:hAnsi="Cambria" w:cs="Arial"/>
          <w:b/>
          <w:bCs/>
          <w:lang w:eastAsia="pl-PL"/>
        </w:rPr>
      </w:pPr>
      <w:r w:rsidRPr="00377BD7">
        <w:rPr>
          <w:rFonts w:ascii="Cambria" w:hAnsi="Cambria" w:cs="Arial"/>
          <w:lang w:eastAsia="pl-PL"/>
        </w:rPr>
        <w:t xml:space="preserve">Formularz, przygotowany wstępnie przez zamawiającego dla postępowania (do wyboru wykonawcy: w formacie doc. xls lub w formacie </w:t>
      </w:r>
      <w:proofErr w:type="spellStart"/>
      <w:r w:rsidRPr="00377BD7">
        <w:rPr>
          <w:rFonts w:ascii="Cambria" w:hAnsi="Cambria" w:cs="Arial"/>
          <w:lang w:eastAsia="pl-PL"/>
        </w:rPr>
        <w:t>xml</w:t>
      </w:r>
      <w:proofErr w:type="spellEnd"/>
      <w:r w:rsidRPr="00377BD7">
        <w:rPr>
          <w:rFonts w:ascii="Cambria" w:hAnsi="Cambria" w:cs="Arial"/>
          <w:lang w:eastAsia="pl-PL"/>
        </w:rPr>
        <w:t xml:space="preserve"> – do zaimportowania w serwisie ESPD</w:t>
      </w:r>
      <w:r w:rsidRPr="00377BD7">
        <w:rPr>
          <w:rFonts w:ascii="Cambria" w:hAnsi="Cambria" w:cs="Arial"/>
        </w:rPr>
        <w:t xml:space="preserve"> </w:t>
      </w:r>
      <w:hyperlink r:id="rId8" w:history="1">
        <w:r w:rsidRPr="00377BD7">
          <w:rPr>
            <w:rFonts w:ascii="Cambria" w:hAnsi="Cambria" w:cs="Arial"/>
            <w:color w:val="0070C0"/>
            <w:u w:val="single"/>
            <w:lang w:eastAsia="pl-PL"/>
          </w:rPr>
          <w:t>https://espd.uzp.gov.pl/</w:t>
        </w:r>
      </w:hyperlink>
      <w:r w:rsidRPr="00377BD7">
        <w:rPr>
          <w:rFonts w:ascii="Cambria" w:hAnsi="Cambria" w:cs="Arial"/>
          <w:color w:val="0070C0"/>
          <w:lang w:eastAsia="pl-PL"/>
        </w:rPr>
        <w:t xml:space="preserve"> ),</w:t>
      </w:r>
      <w:r w:rsidRPr="00377BD7">
        <w:rPr>
          <w:rFonts w:ascii="Cambria" w:hAnsi="Cambria" w:cs="Arial"/>
          <w:lang w:eastAsia="pl-PL"/>
        </w:rPr>
        <w:t xml:space="preserve"> </w:t>
      </w:r>
      <w:r w:rsidRPr="00377BD7">
        <w:rPr>
          <w:rFonts w:ascii="Cambria" w:hAnsi="Cambria" w:cs="Arial"/>
          <w:b/>
          <w:bCs/>
          <w:lang w:eastAsia="pl-PL"/>
        </w:rPr>
        <w:t>dostępny jest na Platformie w miejscu zamieszczenia niniejszej SWZ.</w:t>
      </w:r>
    </w:p>
    <w:p w14:paraId="299B0622" w14:textId="38924E90" w:rsidR="00377BD7" w:rsidRPr="00377BD7" w:rsidRDefault="00377BD7" w:rsidP="00C34E0A">
      <w:pPr>
        <w:suppressAutoHyphens w:val="0"/>
        <w:spacing w:before="120" w:after="120"/>
        <w:jc w:val="both"/>
        <w:rPr>
          <w:rFonts w:ascii="Cambria" w:hAnsi="Cambria" w:cs="Arial"/>
          <w:lang w:eastAsia="pl-PL"/>
        </w:rPr>
      </w:pPr>
      <w:r w:rsidRPr="00377BD7">
        <w:rPr>
          <w:rFonts w:ascii="Cambria" w:hAnsi="Cambria" w:cs="Arial"/>
          <w:lang w:eastAsia="pl-PL"/>
        </w:rPr>
        <w:t>Wykonawca wypełnia JEDZ, tworząc dokument elektroniczny</w:t>
      </w:r>
      <w:r w:rsidRPr="00377BD7">
        <w:rPr>
          <w:rFonts w:ascii="Cambria" w:hAnsi="Cambria" w:cs="Arial"/>
          <w:color w:val="FF0000"/>
          <w:lang w:eastAsia="pl-PL"/>
        </w:rPr>
        <w:t xml:space="preserve"> </w:t>
      </w:r>
      <w:r w:rsidRPr="00377BD7">
        <w:rPr>
          <w:rFonts w:ascii="Cambria" w:hAnsi="Cambria" w:cs="Arial"/>
          <w:lang w:eastAsia="pl-PL"/>
        </w:rPr>
        <w:t>zgodnie z zasadami określonymi w </w:t>
      </w:r>
      <w:r w:rsidRPr="00377BD7">
        <w:rPr>
          <w:rFonts w:ascii="Cambria" w:hAnsi="Cambria" w:cs="Arial"/>
          <w:b/>
          <w:bCs/>
          <w:lang w:eastAsia="pl-PL"/>
        </w:rPr>
        <w:t xml:space="preserve">Rozdziale </w:t>
      </w:r>
      <w:r w:rsidR="008F2068">
        <w:rPr>
          <w:rFonts w:ascii="Cambria" w:hAnsi="Cambria" w:cs="Arial"/>
          <w:b/>
          <w:bCs/>
          <w:lang w:eastAsia="pl-PL"/>
        </w:rPr>
        <w:t>14</w:t>
      </w:r>
      <w:r w:rsidRPr="00377BD7">
        <w:rPr>
          <w:rFonts w:ascii="Cambria" w:hAnsi="Cambria" w:cs="Arial"/>
          <w:b/>
          <w:bCs/>
          <w:lang w:eastAsia="pl-PL"/>
        </w:rPr>
        <w:t xml:space="preserve"> SWZ</w:t>
      </w:r>
      <w:r w:rsidRPr="00377BD7">
        <w:rPr>
          <w:rFonts w:ascii="Cambria" w:hAnsi="Cambria" w:cs="Arial"/>
          <w:lang w:eastAsia="pl-PL"/>
        </w:rPr>
        <w:t xml:space="preserve"> i zobowiązany jest przesłać go zamawiającemu w formie elektronicznej (tj. opatrzonej kwalifikowanym podpisem elektronicznym).</w:t>
      </w:r>
    </w:p>
    <w:p w14:paraId="3B46FE06" w14:textId="77777777" w:rsidR="00377BD7" w:rsidRPr="00377BD7" w:rsidRDefault="00377BD7" w:rsidP="00C34E0A">
      <w:pPr>
        <w:suppressAutoHyphens w:val="0"/>
        <w:spacing w:before="120" w:after="120"/>
        <w:jc w:val="both"/>
        <w:rPr>
          <w:rFonts w:ascii="Cambria" w:hAnsi="Cambria" w:cs="Arial"/>
          <w:lang w:eastAsia="pl-PL"/>
        </w:rPr>
      </w:pPr>
      <w:r w:rsidRPr="00377BD7">
        <w:rPr>
          <w:rFonts w:ascii="Cambria" w:hAnsi="Cambria" w:cs="Arial"/>
          <w:lang w:eastAsia="pl-PL"/>
        </w:rPr>
        <w:t>W przypadku wspólnego ubiegania się o zamówienie przez wykonawców, JEDZ składa każdy z wykonawców wspólnie ubiegających się o zamówienie.</w:t>
      </w:r>
    </w:p>
    <w:p w14:paraId="2D8C0472" w14:textId="77777777" w:rsidR="00377BD7" w:rsidRPr="00377BD7" w:rsidRDefault="00377BD7" w:rsidP="00C34E0A">
      <w:pPr>
        <w:suppressAutoHyphens w:val="0"/>
        <w:spacing w:before="120" w:after="120"/>
        <w:jc w:val="both"/>
        <w:rPr>
          <w:rFonts w:ascii="Cambria" w:hAnsi="Cambria" w:cs="Arial"/>
          <w:lang w:eastAsia="pl-PL"/>
        </w:rPr>
      </w:pPr>
      <w:r w:rsidRPr="00377BD7">
        <w:rPr>
          <w:rFonts w:ascii="Cambria" w:hAnsi="Cambria" w:cs="Arial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059ED35D" w14:textId="77777777" w:rsidR="00252114" w:rsidRPr="00252114" w:rsidRDefault="00252114" w:rsidP="00252114">
      <w:pPr>
        <w:suppressAutoHyphens w:val="0"/>
        <w:spacing w:before="120"/>
        <w:rPr>
          <w:rFonts w:ascii="Cambria" w:hAnsi="Cambria" w:cstheme="minorHAnsi"/>
          <w:b/>
          <w:u w:val="single"/>
          <w:lang w:eastAsia="pl-PL"/>
        </w:rPr>
      </w:pPr>
      <w:r w:rsidRPr="00252114">
        <w:rPr>
          <w:rFonts w:ascii="Cambria" w:hAnsi="Cambria" w:cstheme="minorHAnsi"/>
          <w:b/>
          <w:u w:val="single"/>
          <w:lang w:eastAsia="pl-PL"/>
        </w:rPr>
        <w:t>Wykonawca przygotowując JEDZ wypełnia:</w:t>
      </w:r>
    </w:p>
    <w:p w14:paraId="391F4577" w14:textId="77777777" w:rsidR="00252114" w:rsidRPr="00252114" w:rsidRDefault="00252114" w:rsidP="00252114">
      <w:pPr>
        <w:numPr>
          <w:ilvl w:val="0"/>
          <w:numId w:val="6"/>
        </w:numPr>
        <w:suppressAutoHyphens w:val="0"/>
        <w:spacing w:before="120"/>
        <w:ind w:left="426"/>
        <w:jc w:val="both"/>
        <w:rPr>
          <w:rFonts w:ascii="Cambria" w:eastAsia="Calibri" w:hAnsi="Cambria" w:cstheme="minorHAnsi"/>
          <w:b/>
          <w:lang w:eastAsia="en-US"/>
        </w:rPr>
      </w:pPr>
      <w:r w:rsidRPr="00252114">
        <w:rPr>
          <w:rFonts w:ascii="Cambria" w:eastAsia="Calibri" w:hAnsi="Cambria" w:cstheme="minorHAnsi"/>
          <w:b/>
          <w:lang w:eastAsia="en-US"/>
        </w:rPr>
        <w:t xml:space="preserve">Część I: </w:t>
      </w:r>
      <w:r w:rsidRPr="00252114">
        <w:rPr>
          <w:rFonts w:ascii="Cambria" w:eastAsia="Calibri" w:hAnsi="Cambria" w:cstheme="minorHAnsi"/>
          <w:lang w:eastAsia="en-US"/>
        </w:rPr>
        <w:t>Informacje dotyczące postępowania o udzielenie zamówienia oraz instytucji zamawiającej lub podmiotu zamawiającego,</w:t>
      </w:r>
    </w:p>
    <w:p w14:paraId="7FB8C649" w14:textId="77777777" w:rsidR="00252114" w:rsidRPr="00252114" w:rsidRDefault="00252114" w:rsidP="00252114">
      <w:pPr>
        <w:numPr>
          <w:ilvl w:val="0"/>
          <w:numId w:val="6"/>
        </w:numPr>
        <w:suppressAutoHyphens w:val="0"/>
        <w:spacing w:before="120"/>
        <w:ind w:left="426"/>
        <w:jc w:val="both"/>
        <w:rPr>
          <w:rFonts w:ascii="Cambria" w:eastAsia="Calibri" w:hAnsi="Cambria" w:cstheme="minorHAnsi"/>
          <w:b/>
          <w:lang w:eastAsia="en-US"/>
        </w:rPr>
      </w:pPr>
      <w:r w:rsidRPr="00252114">
        <w:rPr>
          <w:rFonts w:ascii="Cambria" w:eastAsia="Calibri" w:hAnsi="Cambria" w:cstheme="minorHAnsi"/>
          <w:b/>
          <w:lang w:eastAsia="en-US"/>
        </w:rPr>
        <w:t xml:space="preserve">Część II: </w:t>
      </w:r>
      <w:r w:rsidRPr="00252114">
        <w:rPr>
          <w:rFonts w:ascii="Cambria" w:eastAsia="Calibri" w:hAnsi="Cambria" w:cstheme="minorHAnsi"/>
          <w:lang w:eastAsia="en-US"/>
        </w:rPr>
        <w:t>Informacje dotyczące wykonawcy,</w:t>
      </w:r>
    </w:p>
    <w:p w14:paraId="6E9BD979" w14:textId="77777777" w:rsidR="00252114" w:rsidRPr="00252114" w:rsidRDefault="00252114" w:rsidP="00252114">
      <w:pPr>
        <w:numPr>
          <w:ilvl w:val="0"/>
          <w:numId w:val="6"/>
        </w:numPr>
        <w:suppressAutoHyphens w:val="0"/>
        <w:spacing w:before="120"/>
        <w:ind w:left="426"/>
        <w:jc w:val="both"/>
        <w:rPr>
          <w:rFonts w:ascii="Cambria" w:eastAsia="Calibri" w:hAnsi="Cambria" w:cstheme="minorHAnsi"/>
          <w:b/>
          <w:lang w:eastAsia="en-US"/>
        </w:rPr>
      </w:pPr>
      <w:r w:rsidRPr="00252114">
        <w:rPr>
          <w:rFonts w:ascii="Cambria" w:eastAsia="Calibri" w:hAnsi="Cambria" w:cstheme="minorHAnsi"/>
          <w:b/>
          <w:lang w:eastAsia="en-US"/>
        </w:rPr>
        <w:t xml:space="preserve">Część III: </w:t>
      </w:r>
      <w:r w:rsidRPr="00252114">
        <w:rPr>
          <w:rFonts w:ascii="Cambria" w:eastAsia="Calibri" w:hAnsi="Cambria" w:cstheme="minorHAnsi"/>
          <w:lang w:eastAsia="en-US"/>
        </w:rPr>
        <w:t xml:space="preserve">Podstawy wykluczenia – w zakresie informacji dotyczących podstaw wykluczenia, o których mowa w art. 108 ust. 1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, tj.:</w:t>
      </w:r>
    </w:p>
    <w:p w14:paraId="6BF2FA01" w14:textId="77777777" w:rsidR="00252114" w:rsidRPr="00252114" w:rsidRDefault="00252114" w:rsidP="00252114">
      <w:pPr>
        <w:numPr>
          <w:ilvl w:val="0"/>
          <w:numId w:val="7"/>
        </w:numPr>
        <w:suppressAutoHyphens w:val="0"/>
        <w:spacing w:before="120"/>
        <w:ind w:left="851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 xml:space="preserve">Część III lit A: Podstawy związane z wyrokami skazującymi za przestępstwo, które obejmują art. 108 ust. 1 pkt 1 i 2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;</w:t>
      </w:r>
    </w:p>
    <w:p w14:paraId="636DECBA" w14:textId="77777777" w:rsidR="00252114" w:rsidRPr="00252114" w:rsidRDefault="00252114" w:rsidP="00252114">
      <w:pPr>
        <w:numPr>
          <w:ilvl w:val="0"/>
          <w:numId w:val="7"/>
        </w:numPr>
        <w:suppressAutoHyphens w:val="0"/>
        <w:spacing w:before="120"/>
        <w:ind w:left="851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 xml:space="preserve">Część III lit B: Podstawy związane z płatnością podatków lub składek na ubezpieczenie społeczne, które obejmują art. 108 ust. 1 pkt 3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;</w:t>
      </w:r>
    </w:p>
    <w:p w14:paraId="0B1F78DC" w14:textId="77777777" w:rsidR="00252114" w:rsidRPr="00252114" w:rsidRDefault="00252114" w:rsidP="00252114">
      <w:pPr>
        <w:numPr>
          <w:ilvl w:val="0"/>
          <w:numId w:val="7"/>
        </w:numPr>
        <w:suppressAutoHyphens w:val="0"/>
        <w:spacing w:before="120"/>
        <w:ind w:left="851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>Część III lit C: Podstawy związane z niewypłacalnością, konfliktem interesów lub wykroczeniami zawodowymi:</w:t>
      </w:r>
    </w:p>
    <w:p w14:paraId="516C48DE" w14:textId="100BF1FF" w:rsidR="00252114" w:rsidRPr="00252114" w:rsidRDefault="00252114" w:rsidP="00252114">
      <w:pPr>
        <w:numPr>
          <w:ilvl w:val="0"/>
          <w:numId w:val="8"/>
        </w:numPr>
        <w:suppressAutoHyphens w:val="0"/>
        <w:spacing w:before="120"/>
        <w:ind w:left="1276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>pytanie: Czy wykonawca, wedle własnej wiedzy, naruszył swoje obowiązki w</w:t>
      </w:r>
      <w:r>
        <w:rPr>
          <w:rFonts w:ascii="Cambria" w:eastAsia="Calibri" w:hAnsi="Cambria" w:cstheme="minorHAnsi"/>
          <w:lang w:eastAsia="en-US"/>
        </w:rPr>
        <w:t> </w:t>
      </w:r>
      <w:r w:rsidRPr="00252114">
        <w:rPr>
          <w:rFonts w:ascii="Cambria" w:eastAsia="Calibri" w:hAnsi="Cambria" w:cstheme="minorHAnsi"/>
          <w:lang w:eastAsia="en-US"/>
        </w:rPr>
        <w:t xml:space="preserve">dziedzinie prawa pracy?, które obejmuje art. 108 ust. 1 pkt 1 lit. h i pkt 2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;</w:t>
      </w:r>
    </w:p>
    <w:p w14:paraId="42344849" w14:textId="77777777" w:rsidR="00252114" w:rsidRPr="00252114" w:rsidRDefault="00252114" w:rsidP="00252114">
      <w:pPr>
        <w:numPr>
          <w:ilvl w:val="0"/>
          <w:numId w:val="8"/>
        </w:numPr>
        <w:suppressAutoHyphens w:val="0"/>
        <w:spacing w:before="120"/>
        <w:ind w:left="1276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 xml:space="preserve">pytanie: Czy wykonawca zawarł z innymi wykonawcami porozumienia mające na celu zakłócenie konkurencji, które obejmuje art. 108 ust. 1 pkt 5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;</w:t>
      </w:r>
    </w:p>
    <w:p w14:paraId="6AC5F7FA" w14:textId="47E0BF72" w:rsidR="00252114" w:rsidRPr="00252114" w:rsidRDefault="00252114" w:rsidP="00252114">
      <w:pPr>
        <w:numPr>
          <w:ilvl w:val="0"/>
          <w:numId w:val="8"/>
        </w:numPr>
        <w:suppressAutoHyphens w:val="0"/>
        <w:spacing w:before="120"/>
        <w:ind w:left="1276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lastRenderedPageBreak/>
        <w:t>pytanie: Czy wykonawca lub przedsiębiorstwo związane z wykonawcą doradzał(-o) instytucji zamawiającej lub podmiotowi zamawiającemu bądź był(-o) w inny sposób zaangażowany(-e) w przygotowanie postępowania o</w:t>
      </w:r>
      <w:r>
        <w:rPr>
          <w:rFonts w:ascii="Cambria" w:eastAsia="Calibri" w:hAnsi="Cambria" w:cstheme="minorHAnsi"/>
          <w:lang w:eastAsia="en-US"/>
        </w:rPr>
        <w:t> </w:t>
      </w:r>
      <w:r w:rsidRPr="00252114">
        <w:rPr>
          <w:rFonts w:ascii="Cambria" w:eastAsia="Calibri" w:hAnsi="Cambria" w:cstheme="minorHAnsi"/>
          <w:lang w:eastAsia="en-US"/>
        </w:rPr>
        <w:t xml:space="preserve">udzielenie zamówienia, które obejmuje art. 108 ust. 1 pkt 6 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;</w:t>
      </w:r>
    </w:p>
    <w:p w14:paraId="47C71B65" w14:textId="77777777" w:rsidR="00252114" w:rsidRPr="00252114" w:rsidRDefault="00252114" w:rsidP="00252114">
      <w:pPr>
        <w:numPr>
          <w:ilvl w:val="0"/>
          <w:numId w:val="7"/>
        </w:numPr>
        <w:suppressAutoHyphens w:val="0"/>
        <w:spacing w:before="120"/>
        <w:ind w:left="851"/>
        <w:jc w:val="both"/>
        <w:rPr>
          <w:rFonts w:ascii="Cambria" w:eastAsia="Calibri" w:hAnsi="Cambria" w:cstheme="minorHAnsi"/>
          <w:lang w:eastAsia="en-US"/>
        </w:rPr>
      </w:pPr>
      <w:r w:rsidRPr="00252114">
        <w:rPr>
          <w:rFonts w:ascii="Cambria" w:eastAsia="Calibri" w:hAnsi="Cambria" w:cstheme="minorHAnsi"/>
          <w:lang w:eastAsia="en-US"/>
        </w:rPr>
        <w:t xml:space="preserve">Część III lit D: Podstawy wykluczenia o charakterze wyłącznie krajowym, który obejmuje art. 108 ust. 1 pkt 1 lit. g i pkt 2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 xml:space="preserve"> oraz art. 108 ust. 1 pkt 4 ustawy </w:t>
      </w:r>
      <w:proofErr w:type="spellStart"/>
      <w:r w:rsidRPr="00252114">
        <w:rPr>
          <w:rFonts w:ascii="Cambria" w:eastAsia="Calibri" w:hAnsi="Cambria" w:cstheme="minorHAnsi"/>
          <w:lang w:eastAsia="en-US"/>
        </w:rPr>
        <w:t>Pzp</w:t>
      </w:r>
      <w:proofErr w:type="spellEnd"/>
      <w:r w:rsidRPr="00252114">
        <w:rPr>
          <w:rFonts w:ascii="Cambria" w:eastAsia="Calibri" w:hAnsi="Cambria" w:cstheme="minorHAnsi"/>
          <w:lang w:eastAsia="en-US"/>
        </w:rPr>
        <w:t>.</w:t>
      </w:r>
    </w:p>
    <w:p w14:paraId="3C72C8FC" w14:textId="77777777" w:rsidR="00252114" w:rsidRPr="00252114" w:rsidRDefault="00252114" w:rsidP="00252114">
      <w:pPr>
        <w:numPr>
          <w:ilvl w:val="0"/>
          <w:numId w:val="6"/>
        </w:numPr>
        <w:suppressAutoHyphens w:val="0"/>
        <w:spacing w:before="120"/>
        <w:ind w:left="426"/>
        <w:jc w:val="both"/>
        <w:rPr>
          <w:rFonts w:ascii="Cambria" w:eastAsia="Calibri" w:hAnsi="Cambria" w:cstheme="minorHAnsi"/>
          <w:b/>
          <w:lang w:eastAsia="en-US"/>
        </w:rPr>
      </w:pPr>
      <w:r w:rsidRPr="00252114">
        <w:rPr>
          <w:rFonts w:ascii="Cambria" w:eastAsia="Calibri" w:hAnsi="Cambria" w:cstheme="minorHAnsi"/>
          <w:b/>
          <w:lang w:eastAsia="en-US"/>
        </w:rPr>
        <w:t xml:space="preserve">Część IV: </w:t>
      </w:r>
      <w:r w:rsidRPr="00252114">
        <w:rPr>
          <w:rFonts w:ascii="Cambria" w:eastAsia="Calibri" w:hAnsi="Cambria" w:cstheme="minorHAnsi"/>
          <w:lang w:eastAsia="en-US"/>
        </w:rPr>
        <w:t>Kryteria kwalifikacji – w zakresie sekcji alfa – Ogólne oświadczenie dotyczące wszystkich kryteriów kwalifikacji,</w:t>
      </w:r>
    </w:p>
    <w:p w14:paraId="1A95367A" w14:textId="77777777" w:rsidR="00252114" w:rsidRPr="00252114" w:rsidRDefault="00252114" w:rsidP="00252114">
      <w:pPr>
        <w:numPr>
          <w:ilvl w:val="0"/>
          <w:numId w:val="6"/>
        </w:numPr>
        <w:suppressAutoHyphens w:val="0"/>
        <w:spacing w:before="120"/>
        <w:ind w:left="426"/>
        <w:jc w:val="both"/>
        <w:rPr>
          <w:rFonts w:ascii="Cambria" w:eastAsia="Calibri" w:hAnsi="Cambria" w:cstheme="minorHAnsi"/>
          <w:b/>
          <w:lang w:eastAsia="en-US"/>
        </w:rPr>
      </w:pPr>
      <w:r w:rsidRPr="00252114">
        <w:rPr>
          <w:rFonts w:ascii="Cambria" w:eastAsia="Calibri" w:hAnsi="Cambria" w:cstheme="minorHAnsi"/>
          <w:b/>
          <w:lang w:eastAsia="en-US"/>
        </w:rPr>
        <w:t xml:space="preserve">Część VI: </w:t>
      </w:r>
      <w:r w:rsidRPr="00252114">
        <w:rPr>
          <w:rFonts w:ascii="Cambria" w:eastAsia="Calibri" w:hAnsi="Cambria" w:cstheme="minorHAnsi"/>
          <w:lang w:eastAsia="en-US"/>
        </w:rPr>
        <w:t>Oświadczenia końcowe.</w:t>
      </w:r>
    </w:p>
    <w:p w14:paraId="6957B25F" w14:textId="77777777" w:rsidR="00252114" w:rsidRPr="00252114" w:rsidRDefault="00252114" w:rsidP="00252114">
      <w:pPr>
        <w:suppressAutoHyphens w:val="0"/>
        <w:spacing w:before="120"/>
        <w:rPr>
          <w:rFonts w:ascii="Cambria" w:hAnsi="Cambria" w:cstheme="minorHAnsi"/>
          <w:b/>
          <w:color w:val="2F5496" w:themeColor="accent1" w:themeShade="BF"/>
          <w:lang w:eastAsia="pl-PL"/>
        </w:rPr>
      </w:pPr>
    </w:p>
    <w:bookmarkEnd w:id="0"/>
    <w:bookmarkEnd w:id="1"/>
    <w:p w14:paraId="5FAD4343" w14:textId="77777777" w:rsidR="00252114" w:rsidRDefault="00252114" w:rsidP="00C34E0A">
      <w:pPr>
        <w:suppressAutoHyphens w:val="0"/>
        <w:spacing w:before="120" w:after="120"/>
        <w:jc w:val="both"/>
        <w:rPr>
          <w:rFonts w:ascii="Cambria" w:hAnsi="Cambria" w:cs="Arial"/>
          <w:lang w:eastAsia="pl-PL"/>
        </w:rPr>
      </w:pPr>
    </w:p>
    <w:sectPr w:rsidR="00252114" w:rsidSect="009F2F4D">
      <w:headerReference w:type="default" r:id="rId9"/>
      <w:pgSz w:w="11906" w:h="16838"/>
      <w:pgMar w:top="2268" w:right="1274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E7603" w14:textId="590D2328" w:rsidR="009F2F4D" w:rsidRPr="009F2F4D" w:rsidRDefault="009F2F4D" w:rsidP="009F2F4D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bookmarkStart w:id="2" w:name="_Hlk156376477"/>
    <w:r w:rsidRPr="009F2F4D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842026" w:rsidRPr="00842026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5AD216D9" w14:textId="77777777" w:rsidR="009F2F4D" w:rsidRPr="009F2F4D" w:rsidRDefault="009F2F4D" w:rsidP="009F2F4D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9F2F4D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48C360CB" w14:textId="77777777" w:rsidR="009F2F4D" w:rsidRPr="009F2F4D" w:rsidRDefault="009F2F4D" w:rsidP="009F2F4D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9F2F4D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9F2F4D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2B53C37B" w14:textId="27D4074A" w:rsidR="002C0BB4" w:rsidRPr="00377BD7" w:rsidRDefault="00842026" w:rsidP="00377BD7">
    <w:pPr>
      <w:pStyle w:val="Nagwek"/>
    </w:pPr>
    <w:r>
      <w:rPr>
        <w:rFonts w:ascii="Cambria" w:hAnsi="Cambria"/>
        <w:b/>
        <w:sz w:val="18"/>
        <w:szCs w:val="18"/>
      </w:rPr>
      <w:pict w14:anchorId="74A3C38E">
        <v:rect id="_x0000_i1025" style="width:0;height:1.5pt" o:hralign="center" o:hrstd="t" o:hr="t" fillcolor="#a0a0a0" stroked="f"/>
      </w:pic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79D0"/>
    <w:multiLevelType w:val="hybridMultilevel"/>
    <w:tmpl w:val="DEA88D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31C3D"/>
    <w:multiLevelType w:val="hybridMultilevel"/>
    <w:tmpl w:val="089CB088"/>
    <w:lvl w:ilvl="0" w:tplc="9E48B2C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E7493D"/>
    <w:multiLevelType w:val="hybridMultilevel"/>
    <w:tmpl w:val="0DCA497E"/>
    <w:lvl w:ilvl="0" w:tplc="F4FE580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7352">
    <w:abstractNumId w:val="4"/>
  </w:num>
  <w:num w:numId="2" w16cid:durableId="1483160221">
    <w:abstractNumId w:val="2"/>
  </w:num>
  <w:num w:numId="3" w16cid:durableId="1379236070">
    <w:abstractNumId w:val="5"/>
  </w:num>
  <w:num w:numId="4" w16cid:durableId="540165857">
    <w:abstractNumId w:val="1"/>
  </w:num>
  <w:num w:numId="5" w16cid:durableId="2135753002">
    <w:abstractNumId w:val="6"/>
  </w:num>
  <w:num w:numId="6" w16cid:durableId="250045774">
    <w:abstractNumId w:val="7"/>
  </w:num>
  <w:num w:numId="7" w16cid:durableId="726729094">
    <w:abstractNumId w:val="0"/>
  </w:num>
  <w:num w:numId="8" w16cid:durableId="889192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37E6642-650F-4B19-975E-BA426C665413}"/>
  </w:docVars>
  <w:rsids>
    <w:rsidRoot w:val="00485111"/>
    <w:rsid w:val="000701A3"/>
    <w:rsid w:val="000D6707"/>
    <w:rsid w:val="000D726D"/>
    <w:rsid w:val="0011611D"/>
    <w:rsid w:val="00194323"/>
    <w:rsid w:val="00220D1F"/>
    <w:rsid w:val="002318A0"/>
    <w:rsid w:val="002476FE"/>
    <w:rsid w:val="00252114"/>
    <w:rsid w:val="002820FB"/>
    <w:rsid w:val="002961D8"/>
    <w:rsid w:val="002C0BB4"/>
    <w:rsid w:val="00377BD7"/>
    <w:rsid w:val="003B4CC5"/>
    <w:rsid w:val="004236C7"/>
    <w:rsid w:val="00485111"/>
    <w:rsid w:val="004D59E5"/>
    <w:rsid w:val="004E4020"/>
    <w:rsid w:val="00534932"/>
    <w:rsid w:val="00543E0C"/>
    <w:rsid w:val="00672758"/>
    <w:rsid w:val="0074012B"/>
    <w:rsid w:val="0080769A"/>
    <w:rsid w:val="00826831"/>
    <w:rsid w:val="00842026"/>
    <w:rsid w:val="0086494F"/>
    <w:rsid w:val="008C05CE"/>
    <w:rsid w:val="008F2068"/>
    <w:rsid w:val="009C7D18"/>
    <w:rsid w:val="009E489E"/>
    <w:rsid w:val="009F2F4D"/>
    <w:rsid w:val="00A35EDD"/>
    <w:rsid w:val="00A66217"/>
    <w:rsid w:val="00A7568A"/>
    <w:rsid w:val="00A95D14"/>
    <w:rsid w:val="00A96E8E"/>
    <w:rsid w:val="00AD5D08"/>
    <w:rsid w:val="00AE3DA3"/>
    <w:rsid w:val="00B0025A"/>
    <w:rsid w:val="00B87752"/>
    <w:rsid w:val="00BA428A"/>
    <w:rsid w:val="00BC11B9"/>
    <w:rsid w:val="00BE195C"/>
    <w:rsid w:val="00C41072"/>
    <w:rsid w:val="00C74812"/>
    <w:rsid w:val="00CA2D69"/>
    <w:rsid w:val="00D11546"/>
    <w:rsid w:val="00E510BE"/>
    <w:rsid w:val="00EB55F4"/>
    <w:rsid w:val="00F124CB"/>
    <w:rsid w:val="00FA431F"/>
    <w:rsid w:val="00FD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WW8Num1z0">
    <w:name w:val="WW8Num1z0"/>
    <w:rsid w:val="00377BD7"/>
    <w:rPr>
      <w:rFonts w:ascii="Arial" w:hAnsi="Arial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37E6642-650F-4B19-975E-BA426C6654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28</cp:revision>
  <cp:lastPrinted>2022-08-08T08:24:00Z</cp:lastPrinted>
  <dcterms:created xsi:type="dcterms:W3CDTF">2022-08-04T06:31:00Z</dcterms:created>
  <dcterms:modified xsi:type="dcterms:W3CDTF">2026-01-28T19:02:00Z</dcterms:modified>
</cp:coreProperties>
</file>